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EE777" w14:textId="77777777" w:rsidR="004F6605" w:rsidRDefault="004F6605" w:rsidP="004F6605">
      <w:pPr>
        <w:spacing w:after="0" w:line="480" w:lineRule="auto"/>
        <w:jc w:val="center"/>
        <w:rPr>
          <w:rFonts w:ascii="Times New Roman" w:hAnsi="Times New Roman" w:cs="Times New Roman"/>
          <w:sz w:val="24"/>
        </w:rPr>
      </w:pPr>
      <w:bookmarkStart w:id="0" w:name="_GoBack"/>
      <w:bookmarkEnd w:id="0"/>
    </w:p>
    <w:p w14:paraId="1BA0B968" w14:textId="77777777" w:rsidR="004F6605" w:rsidRDefault="004F6605" w:rsidP="004F6605">
      <w:pPr>
        <w:spacing w:after="0" w:line="480" w:lineRule="auto"/>
        <w:jc w:val="center"/>
        <w:rPr>
          <w:rFonts w:ascii="Times New Roman" w:hAnsi="Times New Roman" w:cs="Times New Roman"/>
          <w:sz w:val="24"/>
        </w:rPr>
      </w:pPr>
    </w:p>
    <w:p w14:paraId="0A2A026F" w14:textId="77777777" w:rsidR="004F6605" w:rsidRDefault="004F6605" w:rsidP="004F6605">
      <w:pPr>
        <w:spacing w:after="0" w:line="480" w:lineRule="auto"/>
        <w:jc w:val="center"/>
        <w:rPr>
          <w:rFonts w:ascii="Times New Roman" w:hAnsi="Times New Roman" w:cs="Times New Roman"/>
          <w:sz w:val="24"/>
        </w:rPr>
      </w:pPr>
    </w:p>
    <w:p w14:paraId="4C263A4D" w14:textId="77777777" w:rsidR="004F6605" w:rsidRDefault="004F6605" w:rsidP="004F6605">
      <w:pPr>
        <w:spacing w:after="0" w:line="480" w:lineRule="auto"/>
        <w:jc w:val="center"/>
        <w:rPr>
          <w:rFonts w:ascii="Times New Roman" w:hAnsi="Times New Roman" w:cs="Times New Roman"/>
          <w:sz w:val="24"/>
        </w:rPr>
      </w:pPr>
    </w:p>
    <w:p w14:paraId="58679710" w14:textId="77777777" w:rsidR="004F6605" w:rsidRDefault="004F6605" w:rsidP="004F6605">
      <w:pPr>
        <w:spacing w:after="0" w:line="480" w:lineRule="auto"/>
        <w:jc w:val="center"/>
        <w:rPr>
          <w:rFonts w:ascii="Times New Roman" w:hAnsi="Times New Roman" w:cs="Times New Roman"/>
          <w:sz w:val="24"/>
        </w:rPr>
      </w:pPr>
    </w:p>
    <w:p w14:paraId="4366A179" w14:textId="77777777" w:rsidR="004F6605" w:rsidRDefault="004F6605" w:rsidP="004F6605">
      <w:pPr>
        <w:spacing w:after="0" w:line="480" w:lineRule="auto"/>
        <w:jc w:val="center"/>
        <w:rPr>
          <w:rFonts w:ascii="Times New Roman" w:hAnsi="Times New Roman" w:cs="Times New Roman"/>
          <w:sz w:val="24"/>
        </w:rPr>
      </w:pPr>
    </w:p>
    <w:p w14:paraId="5E5F38EF" w14:textId="77777777" w:rsidR="004F6605" w:rsidRDefault="004F6605" w:rsidP="004F6605">
      <w:pPr>
        <w:spacing w:after="0" w:line="480" w:lineRule="auto"/>
        <w:jc w:val="center"/>
        <w:rPr>
          <w:rFonts w:ascii="Times New Roman" w:hAnsi="Times New Roman" w:cs="Times New Roman"/>
          <w:sz w:val="24"/>
        </w:rPr>
      </w:pPr>
    </w:p>
    <w:p w14:paraId="65C2DC0B" w14:textId="77777777" w:rsidR="004F6605" w:rsidRDefault="004F6605" w:rsidP="004F6605">
      <w:pPr>
        <w:spacing w:after="0" w:line="480" w:lineRule="auto"/>
        <w:jc w:val="center"/>
        <w:rPr>
          <w:rFonts w:ascii="Times New Roman" w:hAnsi="Times New Roman" w:cs="Times New Roman"/>
          <w:sz w:val="24"/>
        </w:rPr>
      </w:pPr>
    </w:p>
    <w:p w14:paraId="003C59CF" w14:textId="77777777" w:rsidR="004F6605" w:rsidRDefault="004F6605" w:rsidP="004F6605">
      <w:pPr>
        <w:spacing w:after="0" w:line="480" w:lineRule="auto"/>
        <w:jc w:val="center"/>
        <w:rPr>
          <w:rFonts w:ascii="Times New Roman" w:hAnsi="Times New Roman" w:cs="Times New Roman"/>
          <w:sz w:val="24"/>
        </w:rPr>
      </w:pPr>
    </w:p>
    <w:p w14:paraId="1CEAE674" w14:textId="77777777" w:rsidR="004F6605" w:rsidRDefault="004F6605" w:rsidP="004F6605">
      <w:pPr>
        <w:spacing w:after="0" w:line="480" w:lineRule="auto"/>
        <w:jc w:val="center"/>
        <w:rPr>
          <w:rFonts w:ascii="Times New Roman" w:hAnsi="Times New Roman" w:cs="Times New Roman"/>
          <w:sz w:val="24"/>
        </w:rPr>
      </w:pPr>
    </w:p>
    <w:p w14:paraId="41507429" w14:textId="0B49E118" w:rsidR="00C126A1" w:rsidRPr="004F6605" w:rsidRDefault="002C0459" w:rsidP="004F6605">
      <w:pPr>
        <w:spacing w:after="0" w:line="480" w:lineRule="auto"/>
        <w:jc w:val="center"/>
        <w:rPr>
          <w:rFonts w:ascii="Times New Roman" w:hAnsi="Times New Roman" w:cs="Times New Roman"/>
          <w:sz w:val="24"/>
        </w:rPr>
      </w:pPr>
      <w:r>
        <w:rPr>
          <w:rFonts w:ascii="Times New Roman" w:hAnsi="Times New Roman" w:cs="Times New Roman"/>
          <w:sz w:val="24"/>
          <w:lang w:val="en-US"/>
        </w:rPr>
        <w:t>Drug</w:t>
      </w:r>
      <w:r w:rsidR="00B43B0C" w:rsidRPr="004F6605">
        <w:rPr>
          <w:rFonts w:ascii="Times New Roman" w:hAnsi="Times New Roman" w:cs="Times New Roman"/>
          <w:sz w:val="24"/>
        </w:rPr>
        <w:t xml:space="preserve"> Courts</w:t>
      </w:r>
    </w:p>
    <w:p w14:paraId="34BED796" w14:textId="4603A5BF" w:rsidR="00F10D76" w:rsidRPr="004F6605" w:rsidRDefault="00B43B0C" w:rsidP="004F6605">
      <w:pPr>
        <w:spacing w:after="0" w:line="480" w:lineRule="auto"/>
        <w:jc w:val="center"/>
        <w:rPr>
          <w:rFonts w:ascii="Times New Roman" w:hAnsi="Times New Roman" w:cs="Times New Roman"/>
          <w:sz w:val="24"/>
        </w:rPr>
      </w:pPr>
      <w:r w:rsidRPr="004F6605">
        <w:rPr>
          <w:rFonts w:ascii="Times New Roman" w:hAnsi="Times New Roman" w:cs="Times New Roman"/>
          <w:sz w:val="24"/>
        </w:rPr>
        <w:t>S</w:t>
      </w:r>
      <w:r w:rsidR="004F6605" w:rsidRPr="004F6605">
        <w:rPr>
          <w:rFonts w:ascii="Times New Roman" w:hAnsi="Times New Roman" w:cs="Times New Roman"/>
          <w:sz w:val="24"/>
        </w:rPr>
        <w:t>tudent’s Name:</w:t>
      </w:r>
    </w:p>
    <w:p w14:paraId="14FA71B9" w14:textId="5CF198AC" w:rsidR="004F6605" w:rsidRPr="004F6605" w:rsidRDefault="00B43B0C" w:rsidP="004F6605">
      <w:pPr>
        <w:spacing w:after="0" w:line="480" w:lineRule="auto"/>
        <w:jc w:val="center"/>
        <w:rPr>
          <w:rFonts w:ascii="Times New Roman" w:hAnsi="Times New Roman" w:cs="Times New Roman"/>
          <w:sz w:val="24"/>
        </w:rPr>
      </w:pPr>
      <w:r w:rsidRPr="004F6605">
        <w:rPr>
          <w:rFonts w:ascii="Times New Roman" w:hAnsi="Times New Roman" w:cs="Times New Roman"/>
          <w:sz w:val="24"/>
        </w:rPr>
        <w:t>Institutional Affiliations:</w:t>
      </w:r>
    </w:p>
    <w:p w14:paraId="277AE9EA" w14:textId="77777777" w:rsidR="004F6605" w:rsidRDefault="00B43B0C">
      <w:pPr>
        <w:rPr>
          <w:rFonts w:ascii="Times New Roman" w:hAnsi="Times New Roman" w:cs="Times New Roman"/>
          <w:sz w:val="24"/>
        </w:rPr>
      </w:pPr>
      <w:r>
        <w:rPr>
          <w:rFonts w:ascii="Times New Roman" w:hAnsi="Times New Roman" w:cs="Times New Roman"/>
          <w:sz w:val="24"/>
        </w:rPr>
        <w:br w:type="page"/>
      </w:r>
    </w:p>
    <w:p w14:paraId="3B7AE237" w14:textId="7A97AAA8" w:rsidR="004F6605" w:rsidRPr="004F6605" w:rsidRDefault="00B43B0C" w:rsidP="004F6605">
      <w:pPr>
        <w:spacing w:after="0" w:line="480" w:lineRule="auto"/>
        <w:jc w:val="center"/>
        <w:rPr>
          <w:rFonts w:ascii="Times New Roman" w:hAnsi="Times New Roman" w:cs="Times New Roman"/>
          <w:sz w:val="24"/>
        </w:rPr>
      </w:pPr>
      <w:r w:rsidRPr="004F6605">
        <w:rPr>
          <w:rFonts w:ascii="Times New Roman" w:hAnsi="Times New Roman" w:cs="Times New Roman"/>
          <w:sz w:val="24"/>
        </w:rPr>
        <w:lastRenderedPageBreak/>
        <w:t>Introduction</w:t>
      </w:r>
    </w:p>
    <w:p w14:paraId="32BAD3DF" w14:textId="40FDD4FE" w:rsidR="00FA2D4E" w:rsidRPr="004F6605" w:rsidRDefault="00B43B0C" w:rsidP="004F6605">
      <w:pPr>
        <w:spacing w:after="0" w:line="480" w:lineRule="auto"/>
        <w:ind w:firstLine="720"/>
        <w:jc w:val="both"/>
        <w:rPr>
          <w:rFonts w:ascii="Times New Roman" w:hAnsi="Times New Roman" w:cs="Times New Roman"/>
          <w:sz w:val="24"/>
        </w:rPr>
      </w:pPr>
      <w:r w:rsidRPr="004F6605">
        <w:rPr>
          <w:rFonts w:ascii="Times New Roman" w:hAnsi="Times New Roman" w:cs="Times New Roman"/>
          <w:sz w:val="24"/>
        </w:rPr>
        <w:t>Thousands have proliferated the emergence of specialty courts in the United States since the 1980s as they focused on reducing the recidivism, special designed treatment program as well as supervision of the offender. In contrast, the traditional court system plays the role of punitive action, thus deterring the offender from such temptation. In this paper, we will explore the drug courts and assess whether they offer ethical advantages as compared to the traditional courts.</w:t>
      </w:r>
    </w:p>
    <w:p w14:paraId="7EE658EF" w14:textId="1A19DCE5" w:rsidR="007368F8" w:rsidRPr="004F6605" w:rsidRDefault="00B43B0C" w:rsidP="004F6605">
      <w:pPr>
        <w:spacing w:after="0" w:line="480" w:lineRule="auto"/>
        <w:ind w:firstLine="720"/>
        <w:jc w:val="both"/>
        <w:rPr>
          <w:rFonts w:ascii="Times New Roman" w:hAnsi="Times New Roman" w:cs="Times New Roman"/>
          <w:sz w:val="24"/>
        </w:rPr>
      </w:pPr>
      <w:r w:rsidRPr="004F6605">
        <w:rPr>
          <w:rFonts w:ascii="Times New Roman" w:hAnsi="Times New Roman" w:cs="Times New Roman"/>
          <w:sz w:val="24"/>
        </w:rPr>
        <w:t xml:space="preserve">Drug courts </w:t>
      </w:r>
      <w:r w:rsidR="00ED7C0C" w:rsidRPr="004F6605">
        <w:rPr>
          <w:rFonts w:ascii="Times New Roman" w:hAnsi="Times New Roman" w:cs="Times New Roman"/>
          <w:sz w:val="24"/>
        </w:rPr>
        <w:t xml:space="preserve">are process-oriented, which is regarded as far more limited </w:t>
      </w:r>
      <w:r w:rsidR="00244C9C" w:rsidRPr="004F6605">
        <w:rPr>
          <w:rFonts w:ascii="Times New Roman" w:hAnsi="Times New Roman" w:cs="Times New Roman"/>
          <w:sz w:val="24"/>
        </w:rPr>
        <w:t>categories of</w:t>
      </w:r>
      <w:r w:rsidR="00ED7C0C" w:rsidRPr="004F6605">
        <w:rPr>
          <w:rFonts w:ascii="Times New Roman" w:hAnsi="Times New Roman" w:cs="Times New Roman"/>
          <w:sz w:val="24"/>
        </w:rPr>
        <w:t xml:space="preserve"> criminal charges. For instance, the court will be concerned about whether the offender has a drug addiction and how will treatment designed program benefit the offender? Contrarily, the traditional court </w:t>
      </w:r>
      <w:r w:rsidR="00244C9C" w:rsidRPr="004F6605">
        <w:rPr>
          <w:rFonts w:ascii="Times New Roman" w:hAnsi="Times New Roman" w:cs="Times New Roman"/>
          <w:sz w:val="24"/>
        </w:rPr>
        <w:t>is event-oriented, for</w:t>
      </w:r>
      <w:r w:rsidR="00ED7C0C" w:rsidRPr="004F6605">
        <w:rPr>
          <w:rFonts w:ascii="Times New Roman" w:hAnsi="Times New Roman" w:cs="Times New Roman"/>
          <w:sz w:val="24"/>
        </w:rPr>
        <w:t xml:space="preserve"> instance, is the offender alleged of a particular crime. This is one of the jurisprudential </w:t>
      </w:r>
      <w:r w:rsidR="00244C9C" w:rsidRPr="004F6605">
        <w:rPr>
          <w:rFonts w:ascii="Times New Roman" w:hAnsi="Times New Roman" w:cs="Times New Roman"/>
          <w:sz w:val="24"/>
        </w:rPr>
        <w:t>links</w:t>
      </w:r>
      <w:r w:rsidR="00ED7C0C" w:rsidRPr="004F6605">
        <w:rPr>
          <w:rFonts w:ascii="Times New Roman" w:hAnsi="Times New Roman" w:cs="Times New Roman"/>
          <w:sz w:val="24"/>
        </w:rPr>
        <w:t xml:space="preserve"> between the community and the traditional courts</w:t>
      </w:r>
      <w:r w:rsidR="0061392E" w:rsidRPr="004F6605">
        <w:rPr>
          <w:rFonts w:ascii="Times New Roman" w:hAnsi="Times New Roman" w:cs="Times New Roman"/>
          <w:sz w:val="24"/>
        </w:rPr>
        <w:t xml:space="preserve"> (Davis &amp; Cates,2017)</w:t>
      </w:r>
      <w:r w:rsidR="00ED7C0C" w:rsidRPr="004F6605">
        <w:rPr>
          <w:rFonts w:ascii="Times New Roman" w:hAnsi="Times New Roman" w:cs="Times New Roman"/>
          <w:sz w:val="24"/>
        </w:rPr>
        <w:t xml:space="preserve">. </w:t>
      </w:r>
    </w:p>
    <w:p w14:paraId="49E867BB" w14:textId="6358C613" w:rsidR="00244C9C" w:rsidRPr="004F6605" w:rsidRDefault="00B43B0C" w:rsidP="004F6605">
      <w:pPr>
        <w:spacing w:after="0" w:line="480" w:lineRule="auto"/>
        <w:ind w:firstLine="720"/>
        <w:jc w:val="both"/>
        <w:rPr>
          <w:rFonts w:ascii="Times New Roman" w:hAnsi="Times New Roman" w:cs="Times New Roman"/>
          <w:sz w:val="24"/>
        </w:rPr>
      </w:pPr>
      <w:r w:rsidRPr="004F6605">
        <w:rPr>
          <w:rFonts w:ascii="Times New Roman" w:hAnsi="Times New Roman" w:cs="Times New Roman"/>
          <w:sz w:val="24"/>
        </w:rPr>
        <w:t>In the United States, the traditional court policies target the illicit drug use of populations, thus resulting in a vast multitude of low-level lawbreakers serving long sentences with derisory support and resulted in a repeat of the same sequence. The drug courts improvised the paradigm cycle of the offender to the identification of the substance use offender, treatment and then support and supervision, which resulted in reduced recidivism</w:t>
      </w:r>
      <w:r w:rsidR="0061392E" w:rsidRPr="004F6605">
        <w:rPr>
          <w:rFonts w:ascii="Times New Roman" w:hAnsi="Times New Roman" w:cs="Times New Roman"/>
          <w:sz w:val="24"/>
        </w:rPr>
        <w:t xml:space="preserve"> (Clark,2015)</w:t>
      </w:r>
      <w:r w:rsidR="009800FD" w:rsidRPr="004F6605">
        <w:rPr>
          <w:rFonts w:ascii="Times New Roman" w:hAnsi="Times New Roman" w:cs="Times New Roman"/>
          <w:sz w:val="24"/>
        </w:rPr>
        <w:t>. The drug court has ethical advantages over the traditional court in that they utilize supervision and monitoring schemes to ensure that the offender complies with the requirements of the programs.</w:t>
      </w:r>
    </w:p>
    <w:p w14:paraId="220E21B2" w14:textId="20D7077C" w:rsidR="009800FD" w:rsidRPr="004F6605" w:rsidRDefault="00B43B0C" w:rsidP="004F6605">
      <w:pPr>
        <w:spacing w:after="0" w:line="480" w:lineRule="auto"/>
        <w:ind w:firstLine="720"/>
        <w:jc w:val="both"/>
        <w:rPr>
          <w:rFonts w:ascii="Times New Roman" w:hAnsi="Times New Roman" w:cs="Times New Roman"/>
          <w:sz w:val="24"/>
        </w:rPr>
      </w:pPr>
      <w:r w:rsidRPr="004F6605">
        <w:rPr>
          <w:rFonts w:ascii="Times New Roman" w:hAnsi="Times New Roman" w:cs="Times New Roman"/>
          <w:sz w:val="24"/>
        </w:rPr>
        <w:t xml:space="preserve">The drug courts involve </w:t>
      </w:r>
      <w:r w:rsidR="004F6605" w:rsidRPr="004F6605">
        <w:rPr>
          <w:rFonts w:ascii="Times New Roman" w:hAnsi="Times New Roman" w:cs="Times New Roman"/>
          <w:sz w:val="24"/>
        </w:rPr>
        <w:t>counselors</w:t>
      </w:r>
      <w:r w:rsidRPr="004F6605">
        <w:rPr>
          <w:rFonts w:ascii="Times New Roman" w:hAnsi="Times New Roman" w:cs="Times New Roman"/>
          <w:sz w:val="24"/>
        </w:rPr>
        <w:t xml:space="preserve"> who serve as court agents and their role is to ensure that the offender adheres to the treatment programs as well as abstinence. The court offers programs, for instance, in New York City, Brooklyn Treatment </w:t>
      </w:r>
      <w:r w:rsidR="0061392E" w:rsidRPr="004F6605">
        <w:rPr>
          <w:rFonts w:ascii="Times New Roman" w:hAnsi="Times New Roman" w:cs="Times New Roman"/>
          <w:sz w:val="24"/>
        </w:rPr>
        <w:t>Court (</w:t>
      </w:r>
      <w:r w:rsidRPr="004F6605">
        <w:rPr>
          <w:rFonts w:ascii="Times New Roman" w:hAnsi="Times New Roman" w:cs="Times New Roman"/>
          <w:sz w:val="24"/>
        </w:rPr>
        <w:t xml:space="preserve">BTC) offers substance use programs for the nonviolent offenders. The court aims to break the addiction cycle, crime </w:t>
      </w:r>
      <w:r w:rsidRPr="004F6605">
        <w:rPr>
          <w:rFonts w:ascii="Times New Roman" w:hAnsi="Times New Roman" w:cs="Times New Roman"/>
          <w:sz w:val="24"/>
        </w:rPr>
        <w:lastRenderedPageBreak/>
        <w:t>prevalence, and incarceration</w:t>
      </w:r>
      <w:r w:rsidR="0061392E" w:rsidRPr="004F6605">
        <w:rPr>
          <w:rFonts w:ascii="Times New Roman" w:hAnsi="Times New Roman" w:cs="Times New Roman"/>
          <w:sz w:val="24"/>
        </w:rPr>
        <w:t xml:space="preserve"> (National Institute of Justice, 2011)</w:t>
      </w:r>
      <w:r w:rsidRPr="004F6605">
        <w:rPr>
          <w:rFonts w:ascii="Times New Roman" w:hAnsi="Times New Roman" w:cs="Times New Roman"/>
          <w:sz w:val="24"/>
        </w:rPr>
        <w:t>. This is advantageous as compared to the traditional approach who</w:t>
      </w:r>
      <w:r w:rsidR="0061392E" w:rsidRPr="004F6605">
        <w:rPr>
          <w:rFonts w:ascii="Times New Roman" w:hAnsi="Times New Roman" w:cs="Times New Roman"/>
          <w:sz w:val="24"/>
        </w:rPr>
        <w:t>se</w:t>
      </w:r>
      <w:r w:rsidRPr="004F6605">
        <w:rPr>
          <w:rFonts w:ascii="Times New Roman" w:hAnsi="Times New Roman" w:cs="Times New Roman"/>
          <w:sz w:val="24"/>
        </w:rPr>
        <w:t xml:space="preserve"> approach is </w:t>
      </w:r>
      <w:r w:rsidR="0061392E" w:rsidRPr="004F6605">
        <w:rPr>
          <w:rFonts w:ascii="Times New Roman" w:hAnsi="Times New Roman" w:cs="Times New Roman"/>
          <w:sz w:val="24"/>
        </w:rPr>
        <w:t>offense-specific, determination of guiltiness and imposition of a sentence without considering the possibility of addiction, behavioral attributes and individualized process system for each offender.</w:t>
      </w:r>
    </w:p>
    <w:p w14:paraId="2C149ACA" w14:textId="77777777" w:rsidR="007368F8" w:rsidRPr="004F6605" w:rsidRDefault="007368F8" w:rsidP="004F6605">
      <w:pPr>
        <w:spacing w:after="0" w:line="480" w:lineRule="auto"/>
        <w:jc w:val="both"/>
        <w:rPr>
          <w:rFonts w:ascii="Times New Roman" w:hAnsi="Times New Roman" w:cs="Times New Roman"/>
          <w:sz w:val="24"/>
        </w:rPr>
      </w:pPr>
    </w:p>
    <w:p w14:paraId="609FDA23" w14:textId="77777777" w:rsidR="004F6605" w:rsidRDefault="00B43B0C">
      <w:pPr>
        <w:rPr>
          <w:rFonts w:ascii="Times New Roman" w:hAnsi="Times New Roman" w:cs="Times New Roman"/>
          <w:sz w:val="24"/>
        </w:rPr>
      </w:pPr>
      <w:r>
        <w:rPr>
          <w:rFonts w:ascii="Times New Roman" w:hAnsi="Times New Roman" w:cs="Times New Roman"/>
          <w:sz w:val="24"/>
        </w:rPr>
        <w:br w:type="page"/>
      </w:r>
    </w:p>
    <w:p w14:paraId="46850FED" w14:textId="7446F131" w:rsidR="007368F8" w:rsidRPr="004F6605" w:rsidRDefault="00B43B0C" w:rsidP="004F6605">
      <w:pPr>
        <w:spacing w:after="0" w:line="480" w:lineRule="auto"/>
        <w:jc w:val="center"/>
        <w:rPr>
          <w:rFonts w:ascii="Times New Roman" w:hAnsi="Times New Roman" w:cs="Times New Roman"/>
          <w:sz w:val="24"/>
        </w:rPr>
      </w:pPr>
      <w:r w:rsidRPr="004F6605">
        <w:rPr>
          <w:rFonts w:ascii="Times New Roman" w:hAnsi="Times New Roman" w:cs="Times New Roman"/>
          <w:sz w:val="24"/>
        </w:rPr>
        <w:lastRenderedPageBreak/>
        <w:t>References</w:t>
      </w:r>
    </w:p>
    <w:p w14:paraId="3D9A5A67" w14:textId="6F805BEF" w:rsidR="0061392E" w:rsidRPr="004F6605" w:rsidRDefault="00B43B0C" w:rsidP="004F6605">
      <w:pPr>
        <w:spacing w:after="0" w:line="480" w:lineRule="auto"/>
        <w:ind w:left="720" w:hanging="720"/>
        <w:jc w:val="both"/>
        <w:rPr>
          <w:rFonts w:ascii="Times New Roman" w:hAnsi="Times New Roman" w:cs="Times New Roman"/>
          <w:sz w:val="24"/>
        </w:rPr>
      </w:pPr>
      <w:r w:rsidRPr="004F6605">
        <w:rPr>
          <w:rFonts w:ascii="Times New Roman" w:hAnsi="Times New Roman" w:cs="Times New Roman"/>
          <w:sz w:val="24"/>
        </w:rPr>
        <w:t>Clark, V. A. (2015). Making the most of second chances: An evaluation of Minnesota’s high-risk revocation reduction reentry program. Journal of Experimental Criminology, 11(2), 193–215.</w:t>
      </w:r>
    </w:p>
    <w:p w14:paraId="391FECA3" w14:textId="0FEA1D60" w:rsidR="0061392E" w:rsidRPr="004F6605" w:rsidRDefault="00B43B0C" w:rsidP="004F6605">
      <w:pPr>
        <w:spacing w:after="0" w:line="480" w:lineRule="auto"/>
        <w:ind w:left="720" w:hanging="720"/>
        <w:jc w:val="both"/>
        <w:rPr>
          <w:rFonts w:ascii="Times New Roman" w:hAnsi="Times New Roman" w:cs="Times New Roman"/>
          <w:sz w:val="24"/>
        </w:rPr>
      </w:pPr>
      <w:r w:rsidRPr="004F6605">
        <w:rPr>
          <w:rFonts w:ascii="Times New Roman" w:hAnsi="Times New Roman" w:cs="Times New Roman"/>
          <w:sz w:val="24"/>
        </w:rPr>
        <w:t xml:space="preserve">Davis, T., &amp; Cates, K. (2017). Mental Health Counseling and Specialty Courts. Retrieved 24 September 2019, from </w:t>
      </w:r>
      <w:hyperlink r:id="rId7" w:history="1">
        <w:r w:rsidRPr="004F6605">
          <w:rPr>
            <w:rStyle w:val="Hyperlink"/>
            <w:rFonts w:ascii="Times New Roman" w:hAnsi="Times New Roman" w:cs="Times New Roman"/>
            <w:sz w:val="24"/>
          </w:rPr>
          <w:t>http://tpcjournal.nbcc.org/mental-health-counseling-and-specialty-courts/</w:t>
        </w:r>
      </w:hyperlink>
    </w:p>
    <w:p w14:paraId="3FBB896D" w14:textId="3991E317" w:rsidR="0061392E" w:rsidRPr="004F6605" w:rsidRDefault="00B43B0C" w:rsidP="004F6605">
      <w:pPr>
        <w:spacing w:after="0" w:line="480" w:lineRule="auto"/>
        <w:ind w:left="720" w:hanging="720"/>
        <w:jc w:val="both"/>
        <w:rPr>
          <w:rFonts w:ascii="Times New Roman" w:hAnsi="Times New Roman" w:cs="Times New Roman"/>
          <w:sz w:val="24"/>
        </w:rPr>
      </w:pPr>
      <w:r w:rsidRPr="004F6605">
        <w:rPr>
          <w:rFonts w:ascii="Times New Roman" w:hAnsi="Times New Roman" w:cs="Times New Roman"/>
          <w:sz w:val="24"/>
        </w:rPr>
        <w:t>National Institute of Justice. (2011). Brooklyn Treatment Court. Retrieved 24 September 2019, from https://crimesolutions.gov/ProgramDetails.aspx?ID=44</w:t>
      </w:r>
    </w:p>
    <w:sectPr w:rsidR="0061392E" w:rsidRPr="004F6605" w:rsidSect="00F10D7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D644BA" w14:textId="77777777" w:rsidR="009B2127" w:rsidRDefault="009B2127">
      <w:pPr>
        <w:spacing w:after="0" w:line="240" w:lineRule="auto"/>
      </w:pPr>
      <w:r>
        <w:separator/>
      </w:r>
    </w:p>
  </w:endnote>
  <w:endnote w:type="continuationSeparator" w:id="0">
    <w:p w14:paraId="0CA7717B" w14:textId="77777777" w:rsidR="009B2127" w:rsidRDefault="009B2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E92D8" w14:textId="77777777" w:rsidR="009B2127" w:rsidRDefault="009B2127">
      <w:pPr>
        <w:spacing w:after="0" w:line="240" w:lineRule="auto"/>
      </w:pPr>
      <w:r>
        <w:separator/>
      </w:r>
    </w:p>
  </w:footnote>
  <w:footnote w:type="continuationSeparator" w:id="0">
    <w:p w14:paraId="59E1B1D5" w14:textId="77777777" w:rsidR="009B2127" w:rsidRDefault="009B2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1FE267" w14:textId="3F09B950" w:rsidR="00F10D76" w:rsidRPr="00F10D76" w:rsidRDefault="00B43B0C">
    <w:pPr>
      <w:pStyle w:val="Header"/>
      <w:jc w:val="right"/>
      <w:rPr>
        <w:rFonts w:ascii="Times New Roman" w:hAnsi="Times New Roman" w:cs="Times New Roman"/>
        <w:sz w:val="24"/>
      </w:rPr>
    </w:pPr>
    <w:r w:rsidRPr="00F10D76">
      <w:rPr>
        <w:rFonts w:ascii="Times New Roman" w:hAnsi="Times New Roman" w:cs="Times New Roman"/>
        <w:sz w:val="24"/>
        <w:lang w:val="en-US"/>
      </w:rPr>
      <w:t>DRUG COURTS</w:t>
    </w:r>
    <w:r w:rsidRPr="00F10D76">
      <w:rPr>
        <w:rFonts w:ascii="Times New Roman" w:hAnsi="Times New Roman" w:cs="Times New Roman"/>
        <w:sz w:val="24"/>
        <w:lang w:val="en-US"/>
      </w:rPr>
      <w:tab/>
    </w:r>
    <w:r w:rsidRPr="00F10D76">
      <w:rPr>
        <w:rFonts w:ascii="Times New Roman" w:hAnsi="Times New Roman" w:cs="Times New Roman"/>
        <w:sz w:val="24"/>
        <w:lang w:val="en-US"/>
      </w:rPr>
      <w:tab/>
    </w:r>
    <w:sdt>
      <w:sdtPr>
        <w:rPr>
          <w:rFonts w:ascii="Times New Roman" w:hAnsi="Times New Roman" w:cs="Times New Roman"/>
          <w:sz w:val="24"/>
        </w:rPr>
        <w:id w:val="1668207317"/>
        <w:docPartObj>
          <w:docPartGallery w:val="Page Numbers (Top of Page)"/>
          <w:docPartUnique/>
        </w:docPartObj>
      </w:sdtPr>
      <w:sdtEndPr>
        <w:rPr>
          <w:noProof/>
        </w:rPr>
      </w:sdtEndPr>
      <w:sdtContent>
        <w:r w:rsidRPr="00F10D76">
          <w:rPr>
            <w:rFonts w:ascii="Times New Roman" w:hAnsi="Times New Roman" w:cs="Times New Roman"/>
            <w:sz w:val="24"/>
          </w:rPr>
          <w:fldChar w:fldCharType="begin"/>
        </w:r>
        <w:r w:rsidRPr="00F10D76">
          <w:rPr>
            <w:rFonts w:ascii="Times New Roman" w:hAnsi="Times New Roman" w:cs="Times New Roman"/>
            <w:sz w:val="24"/>
          </w:rPr>
          <w:instrText xml:space="preserve"> PAGE   \* MERGEFORMAT </w:instrText>
        </w:r>
        <w:r w:rsidRPr="00F10D76">
          <w:rPr>
            <w:rFonts w:ascii="Times New Roman" w:hAnsi="Times New Roman" w:cs="Times New Roman"/>
            <w:sz w:val="24"/>
          </w:rPr>
          <w:fldChar w:fldCharType="separate"/>
        </w:r>
        <w:r w:rsidR="00AD6E21">
          <w:rPr>
            <w:rFonts w:ascii="Times New Roman" w:hAnsi="Times New Roman" w:cs="Times New Roman"/>
            <w:noProof/>
            <w:sz w:val="24"/>
          </w:rPr>
          <w:t>4</w:t>
        </w:r>
        <w:r w:rsidRPr="00F10D76">
          <w:rPr>
            <w:rFonts w:ascii="Times New Roman" w:hAnsi="Times New Roman" w:cs="Times New Roman"/>
            <w:noProof/>
            <w:sz w:val="24"/>
          </w:rPr>
          <w:fldChar w:fldCharType="end"/>
        </w:r>
      </w:sdtContent>
    </w:sdt>
  </w:p>
  <w:p w14:paraId="7F5A5F86" w14:textId="77777777" w:rsidR="00F10D76" w:rsidRPr="00F10D76" w:rsidRDefault="00F10D76">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137E0" w14:textId="2C9A5CB2" w:rsidR="00F10D76" w:rsidRPr="00F10D76" w:rsidRDefault="00B43B0C" w:rsidP="00F10D76">
    <w:pPr>
      <w:pStyle w:val="Header"/>
      <w:jc w:val="right"/>
      <w:rPr>
        <w:rFonts w:ascii="Times New Roman" w:hAnsi="Times New Roman" w:cs="Times New Roman"/>
        <w:sz w:val="24"/>
        <w:szCs w:val="24"/>
      </w:rPr>
    </w:pPr>
    <w:r w:rsidRPr="00F10D76">
      <w:rPr>
        <w:rFonts w:ascii="Times New Roman" w:hAnsi="Times New Roman" w:cs="Times New Roman"/>
        <w:sz w:val="24"/>
        <w:szCs w:val="24"/>
        <w:lang w:val="en-US"/>
      </w:rPr>
      <w:t>Running head: DRUG COURTS</w:t>
    </w:r>
    <w:r w:rsidRPr="00F10D76">
      <w:rPr>
        <w:rFonts w:ascii="Times New Roman" w:hAnsi="Times New Roman" w:cs="Times New Roman"/>
        <w:sz w:val="24"/>
        <w:szCs w:val="24"/>
        <w:lang w:val="en-US"/>
      </w:rPr>
      <w:tab/>
    </w:r>
    <w:r w:rsidRPr="00F10D76">
      <w:rPr>
        <w:rFonts w:ascii="Times New Roman" w:hAnsi="Times New Roman" w:cs="Times New Roman"/>
        <w:sz w:val="24"/>
        <w:szCs w:val="24"/>
        <w:lang w:val="en-US"/>
      </w:rPr>
      <w:tab/>
    </w:r>
    <w:sdt>
      <w:sdtPr>
        <w:rPr>
          <w:rFonts w:ascii="Times New Roman" w:hAnsi="Times New Roman" w:cs="Times New Roman"/>
          <w:sz w:val="24"/>
          <w:szCs w:val="24"/>
        </w:rPr>
        <w:id w:val="82269188"/>
        <w:docPartObj>
          <w:docPartGallery w:val="Page Numbers (Top of Page)"/>
          <w:docPartUnique/>
        </w:docPartObj>
      </w:sdtPr>
      <w:sdtEndPr>
        <w:rPr>
          <w:noProof/>
        </w:rPr>
      </w:sdtEndPr>
      <w:sdtContent>
        <w:r w:rsidRPr="00F10D76">
          <w:rPr>
            <w:rFonts w:ascii="Times New Roman" w:hAnsi="Times New Roman" w:cs="Times New Roman"/>
            <w:sz w:val="24"/>
            <w:szCs w:val="24"/>
          </w:rPr>
          <w:fldChar w:fldCharType="begin"/>
        </w:r>
        <w:r w:rsidRPr="00F10D76">
          <w:rPr>
            <w:rFonts w:ascii="Times New Roman" w:hAnsi="Times New Roman" w:cs="Times New Roman"/>
            <w:sz w:val="24"/>
            <w:szCs w:val="24"/>
          </w:rPr>
          <w:instrText xml:space="preserve"> PAGE   \* MERGEFORMAT </w:instrText>
        </w:r>
        <w:r w:rsidRPr="00F10D76">
          <w:rPr>
            <w:rFonts w:ascii="Times New Roman" w:hAnsi="Times New Roman" w:cs="Times New Roman"/>
            <w:sz w:val="24"/>
            <w:szCs w:val="24"/>
          </w:rPr>
          <w:fldChar w:fldCharType="separate"/>
        </w:r>
        <w:r w:rsidR="00AD6E21">
          <w:rPr>
            <w:rFonts w:ascii="Times New Roman" w:hAnsi="Times New Roman" w:cs="Times New Roman"/>
            <w:noProof/>
            <w:sz w:val="24"/>
            <w:szCs w:val="24"/>
          </w:rPr>
          <w:t>1</w:t>
        </w:r>
        <w:r w:rsidRPr="00F10D76">
          <w:rPr>
            <w:rFonts w:ascii="Times New Roman" w:hAnsi="Times New Roman" w:cs="Times New Roman"/>
            <w:noProof/>
            <w:sz w:val="24"/>
            <w:szCs w:val="24"/>
          </w:rPr>
          <w:fldChar w:fldCharType="end"/>
        </w:r>
      </w:sdtContent>
    </w:sdt>
  </w:p>
  <w:p w14:paraId="0A895702" w14:textId="77777777" w:rsidR="00F10D76" w:rsidRPr="00F10D76" w:rsidRDefault="00F10D76" w:rsidP="00F10D76">
    <w:pPr>
      <w:pStyle w:val="Header"/>
      <w:rPr>
        <w:rFonts w:ascii="Times New Roman" w:hAnsi="Times New Roman" w:cs="Times New Roman"/>
        <w:sz w:val="24"/>
        <w:szCs w:val="24"/>
      </w:rPr>
    </w:pPr>
  </w:p>
  <w:p w14:paraId="14BA95E3" w14:textId="7A935D6A" w:rsidR="00F10D76" w:rsidRPr="00F10D76" w:rsidRDefault="00F10D76">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8F8"/>
    <w:rsid w:val="00244C9C"/>
    <w:rsid w:val="002C0459"/>
    <w:rsid w:val="00443292"/>
    <w:rsid w:val="004F6605"/>
    <w:rsid w:val="005E54A7"/>
    <w:rsid w:val="0061392E"/>
    <w:rsid w:val="006374A9"/>
    <w:rsid w:val="007368F8"/>
    <w:rsid w:val="00783ECC"/>
    <w:rsid w:val="009800FD"/>
    <w:rsid w:val="009B2127"/>
    <w:rsid w:val="00AD6E21"/>
    <w:rsid w:val="00B43B0C"/>
    <w:rsid w:val="00C126A1"/>
    <w:rsid w:val="00ED7C0C"/>
    <w:rsid w:val="00F10D76"/>
    <w:rsid w:val="00FA2D4E"/>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CF33D"/>
  <w15:chartTrackingRefBased/>
  <w15:docId w15:val="{6528C5A1-2F35-40B4-9014-6C95738C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13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1392E"/>
    <w:rPr>
      <w:rFonts w:ascii="Courier New" w:eastAsia="Times New Roman" w:hAnsi="Courier New" w:cs="Courier New"/>
      <w:sz w:val="20"/>
      <w:szCs w:val="20"/>
    </w:rPr>
  </w:style>
  <w:style w:type="character" w:customStyle="1" w:styleId="apple-converted-space">
    <w:name w:val="apple-converted-space"/>
    <w:basedOn w:val="DefaultParagraphFont"/>
    <w:rsid w:val="0061392E"/>
  </w:style>
  <w:style w:type="character" w:styleId="Hyperlink">
    <w:name w:val="Hyperlink"/>
    <w:basedOn w:val="DefaultParagraphFont"/>
    <w:uiPriority w:val="99"/>
    <w:unhideWhenUsed/>
    <w:rsid w:val="0061392E"/>
    <w:rPr>
      <w:color w:val="0563C1" w:themeColor="hyperlink"/>
      <w:u w:val="single"/>
    </w:rPr>
  </w:style>
  <w:style w:type="character" w:customStyle="1" w:styleId="UnresolvedMention1">
    <w:name w:val="Unresolved Mention1"/>
    <w:basedOn w:val="DefaultParagraphFont"/>
    <w:uiPriority w:val="99"/>
    <w:semiHidden/>
    <w:unhideWhenUsed/>
    <w:rsid w:val="0061392E"/>
    <w:rPr>
      <w:color w:val="605E5C"/>
      <w:shd w:val="clear" w:color="auto" w:fill="E1DFDD"/>
    </w:rPr>
  </w:style>
  <w:style w:type="paragraph" w:styleId="Header">
    <w:name w:val="header"/>
    <w:basedOn w:val="Normal"/>
    <w:link w:val="HeaderChar"/>
    <w:uiPriority w:val="99"/>
    <w:unhideWhenUsed/>
    <w:rsid w:val="00F10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D76"/>
  </w:style>
  <w:style w:type="paragraph" w:styleId="Footer">
    <w:name w:val="footer"/>
    <w:basedOn w:val="Normal"/>
    <w:link w:val="FooterChar"/>
    <w:uiPriority w:val="99"/>
    <w:unhideWhenUsed/>
    <w:rsid w:val="00F10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pcjournal.nbcc.org/mental-health-counseling-and-specialty-court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562CF-7A52-4D0F-98F0-9015FA653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Mwendwa</dc:creator>
  <cp:lastModifiedBy>user</cp:lastModifiedBy>
  <cp:revision>2</cp:revision>
  <dcterms:created xsi:type="dcterms:W3CDTF">2019-09-24T18:28:00Z</dcterms:created>
  <dcterms:modified xsi:type="dcterms:W3CDTF">2019-09-24T18:28:00Z</dcterms:modified>
</cp:coreProperties>
</file>